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0BB5" w14:textId="0536E7E3" w:rsidR="00201775" w:rsidRDefault="00201775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>
        <w:rPr>
          <w:rFonts w:ascii="Open Sans" w:eastAsia="Arial" w:hAnsi="Open Sans" w:cs="Open Sans"/>
          <w:color w:val="000000"/>
          <w:szCs w:val="24"/>
        </w:rPr>
        <w:t>Sample TE Liaison Memo</w:t>
      </w:r>
    </w:p>
    <w:p w14:paraId="779D6C7E" w14:textId="77777777" w:rsidR="00201775" w:rsidRDefault="00201775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</w:p>
    <w:p w14:paraId="1FEC8DF8" w14:textId="1D07F4F5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To:</w:t>
      </w:r>
      <w:r w:rsidRPr="00313559">
        <w:rPr>
          <w:rFonts w:ascii="Open Sans" w:eastAsia="Arial" w:hAnsi="Open Sans" w:cs="Open Sans"/>
          <w:color w:val="000000"/>
          <w:szCs w:val="24"/>
        </w:rPr>
        <w:tab/>
        <w:t xml:space="preserve">Institutional Employees 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with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dependents 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applying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for </w:t>
      </w:r>
      <w:r w:rsidR="00A317EA" w:rsidRPr="00313559">
        <w:rPr>
          <w:rFonts w:ascii="Open Sans" w:eastAsia="Arial" w:hAnsi="Open Sans" w:cs="Open Sans"/>
          <w:color w:val="000000"/>
          <w:szCs w:val="24"/>
        </w:rPr>
        <w:t xml:space="preserve">first-time 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Tuition </w:t>
      </w:r>
      <w:r w:rsidR="00313559">
        <w:rPr>
          <w:rFonts w:ascii="Open Sans" w:eastAsia="Arial" w:hAnsi="Open Sans" w:cs="Open Sans"/>
          <w:color w:val="000000"/>
          <w:szCs w:val="24"/>
        </w:rPr>
        <w:tab/>
      </w:r>
      <w:r w:rsidR="00D865E7" w:rsidRPr="00313559">
        <w:rPr>
          <w:rFonts w:ascii="Open Sans" w:eastAsia="Arial" w:hAnsi="Open Sans" w:cs="Open Sans"/>
          <w:color w:val="000000"/>
          <w:szCs w:val="24"/>
        </w:rPr>
        <w:t>Exchange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 xml:space="preserve"> S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cholarships </w:t>
      </w:r>
    </w:p>
    <w:p w14:paraId="510F3238" w14:textId="62228543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 xml:space="preserve">From: </w:t>
      </w:r>
      <w:r w:rsidRPr="00313559">
        <w:rPr>
          <w:rFonts w:ascii="Open Sans" w:eastAsia="Arial" w:hAnsi="Open Sans" w:cs="Open Sans"/>
          <w:color w:val="000000"/>
          <w:szCs w:val="24"/>
        </w:rPr>
        <w:tab/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Tuition Exchange Liaison Officer </w:t>
      </w:r>
    </w:p>
    <w:p w14:paraId="42C3B129" w14:textId="35BA02C8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Re:</w:t>
      </w:r>
      <w:r w:rsidRPr="00313559">
        <w:rPr>
          <w:rFonts w:ascii="Open Sans" w:eastAsia="Arial" w:hAnsi="Open Sans" w:cs="Open Sans"/>
          <w:color w:val="000000"/>
          <w:szCs w:val="24"/>
        </w:rPr>
        <w:tab/>
        <w:t>P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ossible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supplemental grant for 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ten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 </w:t>
      </w:r>
      <w:r w:rsidRPr="00313559">
        <w:rPr>
          <w:rFonts w:ascii="Open Sans" w:eastAsia="Arial" w:hAnsi="Open Sans" w:cs="Open Sans"/>
          <w:color w:val="000000"/>
          <w:szCs w:val="24"/>
        </w:rPr>
        <w:t>new first year, first time 202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2-23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 TE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 xml:space="preserve"> </w:t>
      </w:r>
      <w:r w:rsidR="00313559">
        <w:rPr>
          <w:rFonts w:ascii="Open Sans" w:eastAsia="Arial" w:hAnsi="Open Sans" w:cs="Open Sans"/>
          <w:color w:val="000000"/>
          <w:szCs w:val="24"/>
        </w:rPr>
        <w:tab/>
      </w:r>
      <w:r w:rsidRPr="00313559">
        <w:rPr>
          <w:rFonts w:ascii="Open Sans" w:eastAsia="Arial" w:hAnsi="Open Sans" w:cs="Open Sans"/>
          <w:color w:val="000000"/>
          <w:szCs w:val="24"/>
        </w:rPr>
        <w:t>recipients</w:t>
      </w:r>
    </w:p>
    <w:p w14:paraId="68705745" w14:textId="77777777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</w:p>
    <w:p w14:paraId="38D0E90E" w14:textId="239F9721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 xml:space="preserve">The </w:t>
      </w:r>
      <w:r w:rsidR="00201775">
        <w:rPr>
          <w:rFonts w:ascii="Open Sans" w:eastAsia="Arial" w:hAnsi="Open Sans" w:cs="Open Sans"/>
          <w:color w:val="000000"/>
          <w:szCs w:val="24"/>
        </w:rPr>
        <w:t>Tuition Exchange Board of Directors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 established a grant fund for prospective TE scholars from low and middle-income families. </w:t>
      </w:r>
      <w:r w:rsidR="00313559">
        <w:rPr>
          <w:rFonts w:ascii="Open Sans" w:eastAsia="Arial" w:hAnsi="Open Sans" w:cs="Open Sans"/>
          <w:color w:val="000000"/>
          <w:szCs w:val="24"/>
        </w:rPr>
        <w:t xml:space="preserve">The </w:t>
      </w:r>
      <w:r w:rsidRPr="00313559">
        <w:rPr>
          <w:rFonts w:ascii="Open Sans" w:eastAsia="Arial" w:hAnsi="Open Sans" w:cs="Open Sans"/>
          <w:color w:val="000000"/>
          <w:szCs w:val="24"/>
        </w:rPr>
        <w:t>Howard D. Saperston Tuition Exchange Grant Opportunity (TE-GO) award is $10,000 -- $2,500 a year for a maximum of four years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 or graduation, whichever comes first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. 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The grant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supplements 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the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TE scholarship and 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may </w:t>
      </w:r>
      <w:r w:rsidRPr="00313559">
        <w:rPr>
          <w:rFonts w:ascii="Open Sans" w:eastAsia="Arial" w:hAnsi="Open Sans" w:cs="Open Sans"/>
          <w:color w:val="000000"/>
          <w:szCs w:val="24"/>
        </w:rPr>
        <w:t>be used for tuition and non-tuition items associated with the cost of attendance at a TE member institution.</w:t>
      </w:r>
    </w:p>
    <w:p w14:paraId="418982A5" w14:textId="77777777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</w:p>
    <w:p w14:paraId="5365D57F" w14:textId="5DD734A4" w:rsidR="00106971" w:rsidRPr="00313559" w:rsidRDefault="00D865E7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 xml:space="preserve">The </w:t>
      </w:r>
      <w:r w:rsidR="00A317EA" w:rsidRPr="00313559">
        <w:rPr>
          <w:rFonts w:ascii="Open Sans" w:eastAsia="Arial" w:hAnsi="Open Sans" w:cs="Open Sans"/>
          <w:color w:val="000000"/>
          <w:szCs w:val="24"/>
        </w:rPr>
        <w:t xml:space="preserve">selected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candidates will receive an additional $2500 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award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 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paid directly to the </w:t>
      </w:r>
      <w:r w:rsidR="00201775">
        <w:rPr>
          <w:rFonts w:ascii="Open Sans" w:eastAsia="Arial" w:hAnsi="Open Sans" w:cs="Open Sans"/>
          <w:color w:val="000000"/>
          <w:szCs w:val="24"/>
        </w:rPr>
        <w:t xml:space="preserve">enrolled import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institution </w:t>
      </w:r>
      <w:r w:rsidR="00A317EA" w:rsidRPr="00313559">
        <w:rPr>
          <w:rFonts w:ascii="Open Sans" w:eastAsia="Arial" w:hAnsi="Open Sans" w:cs="Open Sans"/>
          <w:color w:val="000000"/>
          <w:szCs w:val="24"/>
        </w:rPr>
        <w:t>and receive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 the tuition exchange scholarship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.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To apply, the 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TE candidates are not required to have final TES award offers</w:t>
      </w:r>
      <w:r w:rsidRPr="00313559">
        <w:rPr>
          <w:rFonts w:ascii="Open Sans" w:eastAsia="Arial" w:hAnsi="Open Sans" w:cs="Open Sans"/>
          <w:color w:val="000000"/>
          <w:szCs w:val="24"/>
        </w:rPr>
        <w:t>. H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aving TE eligibility is all that is needed.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 However, t</w:t>
      </w:r>
      <w:r w:rsidR="00201775">
        <w:rPr>
          <w:rFonts w:ascii="Open Sans" w:eastAsia="Arial" w:hAnsi="Open Sans" w:cs="Open Sans"/>
          <w:color w:val="000000"/>
          <w:szCs w:val="24"/>
        </w:rPr>
        <w:t>he successful student must be a TE scholarship recipient at the attending import institution to receive the additional grant payment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. </w:t>
      </w:r>
    </w:p>
    <w:p w14:paraId="04BC5603" w14:textId="77777777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</w:p>
    <w:p w14:paraId="06663495" w14:textId="240B58E9" w:rsidR="00D865E7" w:rsidRPr="00313559" w:rsidRDefault="00D865E7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Consideration</w:t>
      </w:r>
      <w:r w:rsidR="00201775">
        <w:rPr>
          <w:rFonts w:ascii="Open Sans" w:eastAsia="Arial" w:hAnsi="Open Sans" w:cs="Open Sans"/>
          <w:color w:val="000000"/>
          <w:szCs w:val="24"/>
        </w:rPr>
        <w:t>s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 for the TE-GO award are:</w:t>
      </w:r>
    </w:p>
    <w:p w14:paraId="0FDCD1FE" w14:textId="24515B66" w:rsidR="00D865E7" w:rsidRPr="00313559" w:rsidRDefault="00D865E7" w:rsidP="00D86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" w:line="249" w:lineRule="auto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a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calculated 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Expected Family Contribution (EFC)</w:t>
      </w:r>
      <w:r w:rsidRPr="00313559">
        <w:rPr>
          <w:rFonts w:ascii="Open Sans" w:eastAsia="Arial" w:hAnsi="Open Sans" w:cs="Open Sans"/>
          <w:color w:val="000000"/>
          <w:szCs w:val="24"/>
        </w:rPr>
        <w:t>*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 </w:t>
      </w:r>
      <w:r w:rsidRPr="00313559">
        <w:rPr>
          <w:rFonts w:ascii="Open Sans" w:eastAsia="Arial" w:hAnsi="Open Sans" w:cs="Open Sans"/>
          <w:color w:val="000000"/>
          <w:szCs w:val="24"/>
        </w:rPr>
        <w:t>of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 $15,000 or less. </w:t>
      </w:r>
    </w:p>
    <w:p w14:paraId="7041FB85" w14:textId="3E1ADF2D" w:rsidR="00D865E7" w:rsidRPr="00313559" w:rsidRDefault="00D865E7" w:rsidP="00D86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" w:line="249" w:lineRule="auto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 xml:space="preserve">an offered TE </w:t>
      </w:r>
      <w:proofErr w:type="gramStart"/>
      <w:r w:rsidRPr="00313559">
        <w:rPr>
          <w:rFonts w:ascii="Open Sans" w:eastAsia="Arial" w:hAnsi="Open Sans" w:cs="Open Sans"/>
          <w:color w:val="000000"/>
          <w:szCs w:val="24"/>
        </w:rPr>
        <w:t>scholarship.*</w:t>
      </w:r>
      <w:proofErr w:type="gramEnd"/>
      <w:r w:rsidRPr="00313559">
        <w:rPr>
          <w:rFonts w:ascii="Open Sans" w:eastAsia="Arial" w:hAnsi="Open Sans" w:cs="Open Sans"/>
          <w:color w:val="000000"/>
          <w:szCs w:val="24"/>
        </w:rPr>
        <w:t>*</w:t>
      </w:r>
    </w:p>
    <w:p w14:paraId="483C61A5" w14:textId="557B02B9" w:rsidR="00106971" w:rsidRPr="00313559" w:rsidRDefault="00D865E7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*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The EFC is determined by completing the 202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2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-2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3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 Free Application for Federal Student Aid (FAFSA) at www.fafsa.ed.gov</w:t>
      </w:r>
    </w:p>
    <w:p w14:paraId="4F7AC564" w14:textId="3692C42F" w:rsidR="00106971" w:rsidRPr="00313559" w:rsidRDefault="00D865E7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**Funding requires the student to enroll at the institution with an approved Tuition Exchange scholarship.</w:t>
      </w:r>
    </w:p>
    <w:p w14:paraId="764C2735" w14:textId="77777777" w:rsidR="00D865E7" w:rsidRPr="00313559" w:rsidRDefault="00D865E7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</w:p>
    <w:p w14:paraId="5637F0AF" w14:textId="403DD045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If you w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>ish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 your TE dependent considered for a TE-GO grant, contact me no later than 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Monday</w:t>
      </w:r>
      <w:r w:rsidRPr="00313559">
        <w:rPr>
          <w:rFonts w:ascii="Open Sans" w:eastAsia="Arial" w:hAnsi="Open Sans" w:cs="Open Sans"/>
          <w:color w:val="000000"/>
          <w:szCs w:val="24"/>
        </w:rPr>
        <w:t>, January 31, 202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2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, and provide proof of the Expected Family Contribution (EFC) of $15,000 or less. 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A copy of the Student Aid Report (SAR) is excellent. Every TE member </w:t>
      </w:r>
      <w:r w:rsidRPr="00313559">
        <w:rPr>
          <w:rFonts w:ascii="Open Sans" w:eastAsia="Arial" w:hAnsi="Open Sans" w:cs="Open Sans"/>
          <w:color w:val="000000"/>
          <w:szCs w:val="24"/>
        </w:rPr>
        <w:t xml:space="preserve">college is allowed two nominations annually. 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In the case of two or more prospective nominees, additional criteria will be used to determine the college's two nominations. </w:t>
      </w:r>
    </w:p>
    <w:p w14:paraId="3B1959E4" w14:textId="77777777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</w:p>
    <w:p w14:paraId="55F23204" w14:textId="77777777" w:rsidR="00313559" w:rsidRDefault="00313559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</w:p>
    <w:p w14:paraId="3B659FAA" w14:textId="377D1DEF" w:rsidR="00D865E7" w:rsidRPr="00313559" w:rsidRDefault="00D865E7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Successful nominees will be notified by TE Central asking for the following information.</w:t>
      </w:r>
    </w:p>
    <w:p w14:paraId="4D3B16B6" w14:textId="69C9BC18" w:rsidR="00A317EA" w:rsidRPr="00313559" w:rsidRDefault="00A317EA" w:rsidP="00D86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9" w:lineRule="auto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Proof of the EFC</w:t>
      </w:r>
    </w:p>
    <w:p w14:paraId="1F980578" w14:textId="0E5C0FD7" w:rsidR="00D865E7" w:rsidRPr="00313559" w:rsidRDefault="00D865E7" w:rsidP="00D86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9" w:lineRule="auto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 xml:space="preserve">A copy of the most recent 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academic credentials, </w:t>
      </w:r>
    </w:p>
    <w:p w14:paraId="64E46291" w14:textId="6B64952F" w:rsidR="00D865E7" w:rsidRPr="00313559" w:rsidRDefault="00A317EA" w:rsidP="00D86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9" w:lineRule="auto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D</w:t>
      </w:r>
      <w:r w:rsidR="00D865E7" w:rsidRPr="00313559">
        <w:rPr>
          <w:rFonts w:ascii="Open Sans" w:eastAsia="Arial" w:hAnsi="Open Sans" w:cs="Open Sans"/>
          <w:color w:val="000000"/>
          <w:szCs w:val="24"/>
        </w:rPr>
        <w:t xml:space="preserve">etails of your 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non-academic activities/community service, and </w:t>
      </w:r>
    </w:p>
    <w:p w14:paraId="23A8AF60" w14:textId="398D461C" w:rsidR="00D865E7" w:rsidRPr="00313559" w:rsidRDefault="00D865E7" w:rsidP="00D865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9" w:lineRule="auto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>A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 short candidate's statement </w:t>
      </w:r>
    </w:p>
    <w:p w14:paraId="2EDFD3EB" w14:textId="77777777" w:rsidR="00D865E7" w:rsidRPr="00313559" w:rsidRDefault="00D865E7" w:rsidP="00D865E7">
      <w:pPr>
        <w:pStyle w:val="ListParagraph"/>
        <w:autoSpaceDE w:val="0"/>
        <w:autoSpaceDN w:val="0"/>
        <w:adjustRightInd w:val="0"/>
        <w:spacing w:after="14" w:line="249" w:lineRule="auto"/>
        <w:ind w:left="0"/>
        <w:rPr>
          <w:rFonts w:ascii="Open Sans" w:eastAsia="Arial" w:hAnsi="Open Sans" w:cs="Open Sans"/>
          <w:color w:val="000000"/>
          <w:szCs w:val="24"/>
        </w:rPr>
      </w:pPr>
    </w:p>
    <w:p w14:paraId="569A6461" w14:textId="4B01BEF7" w:rsidR="00106971" w:rsidRPr="00313559" w:rsidRDefault="00D865E7" w:rsidP="00D865E7">
      <w:pPr>
        <w:pStyle w:val="ListParagraph"/>
        <w:autoSpaceDE w:val="0"/>
        <w:autoSpaceDN w:val="0"/>
        <w:adjustRightInd w:val="0"/>
        <w:spacing w:after="14" w:line="249" w:lineRule="auto"/>
        <w:ind w:left="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 xml:space="preserve">The information should be returned no later than 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March </w:t>
      </w:r>
      <w:r w:rsidRPr="00313559">
        <w:rPr>
          <w:rFonts w:ascii="Open Sans" w:eastAsia="Arial" w:hAnsi="Open Sans" w:cs="Open Sans"/>
          <w:color w:val="000000"/>
          <w:szCs w:val="24"/>
        </w:rPr>
        <w:t>1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8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, 202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2</w:t>
      </w:r>
      <w:r w:rsidRPr="00313559">
        <w:rPr>
          <w:rFonts w:ascii="Open Sans" w:eastAsia="Arial" w:hAnsi="Open Sans" w:cs="Open Sans"/>
          <w:color w:val="000000"/>
          <w:szCs w:val="24"/>
        </w:rPr>
        <w:t>, for full consideration.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 </w:t>
      </w:r>
      <w:r w:rsidRPr="00313559">
        <w:rPr>
          <w:rFonts w:ascii="Open Sans" w:eastAsia="Arial" w:hAnsi="Open Sans" w:cs="Open Sans"/>
          <w:color w:val="000000"/>
          <w:szCs w:val="24"/>
        </w:rPr>
        <w:t>All c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redentials will be verified by the nominating institution and the TE Central Office. A panel will select the finalists</w:t>
      </w:r>
      <w:r w:rsidR="00201775">
        <w:rPr>
          <w:rFonts w:ascii="Open Sans" w:eastAsia="Arial" w:hAnsi="Open Sans" w:cs="Open Sans"/>
          <w:color w:val="000000"/>
          <w:szCs w:val="24"/>
        </w:rPr>
        <w:t>,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 xml:space="preserve"> with TE-GO grant awards announced no later than April 2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2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, 202</w:t>
      </w:r>
      <w:r w:rsidR="00C44CAE" w:rsidRPr="00313559">
        <w:rPr>
          <w:rFonts w:ascii="Open Sans" w:eastAsia="Arial" w:hAnsi="Open Sans" w:cs="Open Sans"/>
          <w:color w:val="000000"/>
          <w:szCs w:val="24"/>
        </w:rPr>
        <w:t>2</w:t>
      </w:r>
      <w:r w:rsidR="00106971" w:rsidRPr="00313559">
        <w:rPr>
          <w:rFonts w:ascii="Open Sans" w:eastAsia="Arial" w:hAnsi="Open Sans" w:cs="Open Sans"/>
          <w:color w:val="000000"/>
          <w:szCs w:val="24"/>
        </w:rPr>
        <w:t>.</w:t>
      </w:r>
    </w:p>
    <w:p w14:paraId="7C09D44C" w14:textId="77777777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</w:p>
    <w:p w14:paraId="156CDA1F" w14:textId="77777777" w:rsidR="00D865E7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</w:rPr>
        <w:t xml:space="preserve">If you have any questions, please feel free to contact me. </w:t>
      </w:r>
    </w:p>
    <w:p w14:paraId="35239E12" w14:textId="373F3FD0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  <w:highlight w:val="yellow"/>
        </w:rPr>
      </w:pPr>
      <w:r w:rsidRPr="00313559">
        <w:rPr>
          <w:rFonts w:ascii="Open Sans" w:eastAsia="Arial" w:hAnsi="Open Sans" w:cs="Open Sans"/>
          <w:color w:val="000000"/>
          <w:szCs w:val="24"/>
          <w:highlight w:val="yellow"/>
        </w:rPr>
        <w:t>Name of TELO</w:t>
      </w:r>
    </w:p>
    <w:p w14:paraId="3273EBEF" w14:textId="77777777" w:rsidR="00106971" w:rsidRPr="00313559" w:rsidRDefault="00106971" w:rsidP="00106971">
      <w:pPr>
        <w:autoSpaceDE w:val="0"/>
        <w:autoSpaceDN w:val="0"/>
        <w:adjustRightInd w:val="0"/>
        <w:spacing w:after="14" w:line="249" w:lineRule="auto"/>
        <w:ind w:left="10" w:hanging="10"/>
        <w:rPr>
          <w:rFonts w:ascii="Open Sans" w:eastAsia="Arial" w:hAnsi="Open Sans" w:cs="Open Sans"/>
          <w:color w:val="000000"/>
          <w:szCs w:val="24"/>
        </w:rPr>
      </w:pPr>
      <w:r w:rsidRPr="00313559">
        <w:rPr>
          <w:rFonts w:ascii="Open Sans" w:eastAsia="Arial" w:hAnsi="Open Sans" w:cs="Open Sans"/>
          <w:color w:val="000000"/>
          <w:szCs w:val="24"/>
          <w:highlight w:val="yellow"/>
        </w:rPr>
        <w:t>TELO title and contact information</w:t>
      </w:r>
    </w:p>
    <w:sectPr w:rsidR="00106971" w:rsidRPr="00313559" w:rsidSect="00E2352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15A0"/>
    <w:multiLevelType w:val="hybridMultilevel"/>
    <w:tmpl w:val="B5A2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1E02"/>
    <w:multiLevelType w:val="hybridMultilevel"/>
    <w:tmpl w:val="B8784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LUwt7QwtTQ0NTZW0lEKTi0uzszPAykwrgUAEh6hZywAAAA="/>
  </w:docVars>
  <w:rsids>
    <w:rsidRoot w:val="00106971"/>
    <w:rsid w:val="00106971"/>
    <w:rsid w:val="00107504"/>
    <w:rsid w:val="00201775"/>
    <w:rsid w:val="00313559"/>
    <w:rsid w:val="00693FF2"/>
    <w:rsid w:val="007428E0"/>
    <w:rsid w:val="0085737B"/>
    <w:rsid w:val="008F4115"/>
    <w:rsid w:val="00A317EA"/>
    <w:rsid w:val="00C44CAE"/>
    <w:rsid w:val="00D865E7"/>
    <w:rsid w:val="00E2352C"/>
    <w:rsid w:val="00F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37A0"/>
  <w15:chartTrackingRefBased/>
  <w15:docId w15:val="{4D5D2282-D339-46C3-B84F-9B57957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Hanson</cp:lastModifiedBy>
  <cp:revision>2</cp:revision>
  <cp:lastPrinted>2020-12-10T18:33:00Z</cp:lastPrinted>
  <dcterms:created xsi:type="dcterms:W3CDTF">2022-01-11T01:32:00Z</dcterms:created>
  <dcterms:modified xsi:type="dcterms:W3CDTF">2022-01-11T01:32:00Z</dcterms:modified>
</cp:coreProperties>
</file>